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C04DA3">
        <w:rPr>
          <w:rFonts w:ascii="Times New Roman" w:hAnsi="Times New Roman"/>
          <w:sz w:val="24"/>
        </w:rPr>
        <w:t>12049</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96190" w:rsidRPr="00096190">
        <w:rPr>
          <w:rFonts w:ascii="Arial" w:hAnsi="Arial" w:cs="Arial"/>
          <w:sz w:val="24"/>
          <w:lang w:val="en-US" w:eastAsia="zh-CN"/>
        </w:rPr>
        <w:t>Interruption requirements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74D28">
        <w:rPr>
          <w:rFonts w:ascii="Arial" w:hAnsi="Arial" w:cs="Arial"/>
          <w:sz w:val="24"/>
          <w:lang w:val="en-US" w:eastAsia="zh-CN"/>
        </w:rPr>
        <w:t>8.1.4.6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DE0401" w:rsidRDefault="00DE0401" w:rsidP="00096190">
      <w:r>
        <w:t>In RAN</w:t>
      </w:r>
      <w:r w:rsidR="00096190">
        <w:t xml:space="preserve">4#92, significant </w:t>
      </w:r>
      <w:r w:rsidR="00574D28">
        <w:t xml:space="preserve">progress was made and the following </w:t>
      </w:r>
      <w:r w:rsidR="00096190">
        <w:t xml:space="preserve">agreements were reached for interruptions </w:t>
      </w:r>
      <w:r w:rsidR="00574D28">
        <w:t>i</w:t>
      </w:r>
      <w:r w:rsidR="00096190">
        <w:t>n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096190" w:rsidTr="00266988">
        <w:tc>
          <w:tcPr>
            <w:tcW w:w="10763" w:type="dxa"/>
            <w:shd w:val="clear" w:color="auto" w:fill="auto"/>
          </w:tcPr>
          <w:p w:rsidR="00096190" w:rsidRPr="00096190" w:rsidRDefault="00096190" w:rsidP="00266988">
            <w:pPr>
              <w:numPr>
                <w:ilvl w:val="0"/>
                <w:numId w:val="37"/>
              </w:numPr>
            </w:pPr>
            <w:r w:rsidRPr="00096190">
              <w:rPr>
                <w:lang w:val="en-US"/>
              </w:rPr>
              <w:t>The interruption due to transitions between active and non-active during DRX applies in scenario B</w:t>
            </w:r>
          </w:p>
          <w:p w:rsidR="00096190" w:rsidRPr="00096190" w:rsidRDefault="00096190" w:rsidP="00266988">
            <w:pPr>
              <w:numPr>
                <w:ilvl w:val="1"/>
                <w:numId w:val="37"/>
              </w:numPr>
            </w:pPr>
            <w:r w:rsidRPr="00096190">
              <w:rPr>
                <w:lang w:val="en-US"/>
              </w:rPr>
              <w:t>The EN-DC interruption due to transitions between active and non-active during DRX is reused in scenario B</w:t>
            </w:r>
          </w:p>
          <w:p w:rsidR="00096190" w:rsidRPr="00096190" w:rsidRDefault="00096190" w:rsidP="00266988">
            <w:pPr>
              <w:numPr>
                <w:ilvl w:val="0"/>
                <w:numId w:val="37"/>
              </w:numPr>
            </w:pPr>
            <w:r w:rsidRPr="00096190">
              <w:rPr>
                <w:lang w:val="en-US"/>
              </w:rPr>
              <w:t>The interruption due to PCell transitions from non-DRX to DRX applies in scenario B</w:t>
            </w:r>
          </w:p>
          <w:p w:rsidR="00096190" w:rsidRPr="00096190" w:rsidRDefault="00096190" w:rsidP="00266988">
            <w:pPr>
              <w:numPr>
                <w:ilvl w:val="1"/>
                <w:numId w:val="37"/>
              </w:numPr>
            </w:pPr>
            <w:r w:rsidRPr="00096190">
              <w:t>The EN-DC interruption due to PCell transitions from non-DRX to DRX is reused in scenario B</w:t>
            </w:r>
          </w:p>
          <w:p w:rsidR="00096190" w:rsidRPr="00096190" w:rsidRDefault="00096190" w:rsidP="00266988">
            <w:pPr>
              <w:numPr>
                <w:ilvl w:val="0"/>
                <w:numId w:val="37"/>
              </w:numPr>
            </w:pPr>
            <w:r w:rsidRPr="00096190">
              <w:rPr>
                <w:lang w:val="en-US"/>
              </w:rPr>
              <w:t>The interruption due to Scell addition or release applies in all scenarios A-C</w:t>
            </w:r>
          </w:p>
          <w:p w:rsidR="00096190" w:rsidRPr="00096190" w:rsidRDefault="00096190" w:rsidP="00266988">
            <w:pPr>
              <w:numPr>
                <w:ilvl w:val="1"/>
                <w:numId w:val="37"/>
              </w:numPr>
            </w:pPr>
            <w:r w:rsidRPr="00096190">
              <w:rPr>
                <w:lang w:val="en-US"/>
              </w:rPr>
              <w:t>The interruption due to Scell addition or release for an NR-U aggressor cell can reuse the requirements for release 15 NR Scell addition or release</w:t>
            </w:r>
          </w:p>
          <w:p w:rsidR="00096190" w:rsidRPr="00096190" w:rsidRDefault="00096190" w:rsidP="00266988">
            <w:pPr>
              <w:numPr>
                <w:ilvl w:val="1"/>
                <w:numId w:val="37"/>
              </w:numPr>
            </w:pPr>
            <w:r w:rsidRPr="00096190">
              <w:rPr>
                <w:lang w:val="en-US"/>
              </w:rPr>
              <w:t>The interruption due to Scell addition or release for an NR-U victim cell can reuse the requirements for release 15 NR Scell addition or release</w:t>
            </w:r>
          </w:p>
          <w:p w:rsidR="00096190" w:rsidRPr="00096190" w:rsidRDefault="00096190" w:rsidP="00266988">
            <w:pPr>
              <w:numPr>
                <w:ilvl w:val="0"/>
                <w:numId w:val="37"/>
              </w:numPr>
            </w:pPr>
            <w:r w:rsidRPr="00096190">
              <w:rPr>
                <w:lang w:val="en-US"/>
              </w:rPr>
              <w:t>The interruption due to SCell activation or deactivation applies in all scenarios A-C</w:t>
            </w:r>
          </w:p>
          <w:p w:rsidR="00096190" w:rsidRPr="00096190" w:rsidRDefault="00096190" w:rsidP="00266988">
            <w:pPr>
              <w:numPr>
                <w:ilvl w:val="1"/>
                <w:numId w:val="37"/>
              </w:numPr>
            </w:pPr>
            <w:r w:rsidRPr="00096190">
              <w:rPr>
                <w:lang w:val="en-US"/>
              </w:rPr>
              <w:t>The interruption due to SCell activation or deactivation for an NR-U aggressor cell can reuse the requirements for release 15 NR SCell addition or release</w:t>
            </w:r>
          </w:p>
          <w:p w:rsidR="00096190" w:rsidRPr="00096190" w:rsidRDefault="00096190" w:rsidP="00266988">
            <w:pPr>
              <w:numPr>
                <w:ilvl w:val="1"/>
                <w:numId w:val="37"/>
              </w:numPr>
            </w:pPr>
            <w:r w:rsidRPr="00096190">
              <w:rPr>
                <w:lang w:val="en-US"/>
              </w:rPr>
              <w:t>The interruption due to Scell activation or deactivation for an NR-U victim cell can reuse the requirements for release 15 NR SCell addition or release</w:t>
            </w:r>
          </w:p>
          <w:p w:rsidR="00096190" w:rsidRPr="00096190" w:rsidRDefault="00096190" w:rsidP="00266988">
            <w:pPr>
              <w:numPr>
                <w:ilvl w:val="0"/>
                <w:numId w:val="37"/>
              </w:numPr>
            </w:pPr>
            <w:r w:rsidRPr="00096190">
              <w:rPr>
                <w:lang w:val="en-US"/>
              </w:rPr>
              <w:t>The interruption due to supplementary UL carrier or an UL carrier is configured or de-configured can reuse the requirements for release 15 NR SUL/UL configuration/deconfiguration</w:t>
            </w:r>
          </w:p>
          <w:p w:rsidR="00096190" w:rsidRPr="00096190" w:rsidRDefault="00096190" w:rsidP="00266988">
            <w:pPr>
              <w:numPr>
                <w:ilvl w:val="0"/>
                <w:numId w:val="37"/>
              </w:numPr>
            </w:pPr>
            <w:r w:rsidRPr="00096190">
              <w:rPr>
                <w:lang w:val="en-US"/>
              </w:rPr>
              <w:t>The deactivation interruption on PCell or PSCell or any activated SCell shall not occur before slot n+1+[T</w:t>
            </w:r>
            <w:r w:rsidRPr="00096190">
              <w:rPr>
                <w:vertAlign w:val="subscript"/>
                <w:lang w:val="en-US"/>
              </w:rPr>
              <w:t>HARQ</w:t>
            </w:r>
            <w:r w:rsidRPr="00096190">
              <w:rPr>
                <w:lang w:val="en-US"/>
              </w:rPr>
              <w:t>] and not occur after slot n+1+[T</w:t>
            </w:r>
            <w:r w:rsidRPr="00096190">
              <w:rPr>
                <w:vertAlign w:val="subscript"/>
                <w:lang w:val="en-US"/>
              </w:rPr>
              <w:t>HARQ</w:t>
            </w:r>
            <w:r w:rsidRPr="00096190">
              <w:rPr>
                <w:lang w:val="en-US"/>
              </w:rPr>
              <w:t xml:space="preserve"> +3ms]</w:t>
            </w:r>
          </w:p>
          <w:p w:rsidR="00096190" w:rsidRDefault="00096190" w:rsidP="00266988">
            <w:pPr>
              <w:numPr>
                <w:ilvl w:val="1"/>
                <w:numId w:val="37"/>
              </w:numPr>
            </w:pPr>
            <w:r w:rsidRPr="00096190">
              <w:rPr>
                <w:lang w:val="en-US"/>
              </w:rPr>
              <w:t>The definition of T_HARQ needs be clarified</w:t>
            </w:r>
          </w:p>
        </w:tc>
      </w:tr>
    </w:tbl>
    <w:p w:rsidR="00096190" w:rsidRPr="0065502B" w:rsidRDefault="00096190" w:rsidP="00096190"/>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096190" w:rsidP="006B6666">
      <w:pPr>
        <w:rPr>
          <w:lang w:val="en-US" w:eastAsia="zh-CN"/>
        </w:rPr>
      </w:pPr>
      <w:r>
        <w:rPr>
          <w:lang w:val="en-US" w:eastAsia="zh-CN"/>
        </w:rPr>
        <w:t>In all interruption requirements for licensed NR operation (including EN-DC), the specified interruption requirement assumes at most a single interruption at</w:t>
      </w:r>
    </w:p>
    <w:p w:rsidR="00096190" w:rsidRDefault="00096190" w:rsidP="00096190">
      <w:pPr>
        <w:numPr>
          <w:ilvl w:val="0"/>
          <w:numId w:val="39"/>
        </w:numPr>
        <w:rPr>
          <w:lang w:val="en-US" w:eastAsia="zh-CN"/>
        </w:rPr>
      </w:pPr>
      <w:r>
        <w:rPr>
          <w:lang w:val="en-US" w:eastAsia="zh-CN"/>
        </w:rPr>
        <w:t>Each transition between active and non-active during DRX</w:t>
      </w:r>
      <w:r w:rsidR="00BE6409">
        <w:rPr>
          <w:lang w:val="en-US" w:eastAsia="zh-CN"/>
        </w:rPr>
        <w:t xml:space="preserve"> (</w:t>
      </w:r>
      <w:r w:rsidR="00BE6409">
        <w:rPr>
          <w:lang w:eastAsia="zh-CN"/>
        </w:rPr>
        <w:t xml:space="preserve">Caused by cells in the other CG transitioning between active and non-active, </w:t>
      </w:r>
      <w:r w:rsidR="00BE6409" w:rsidRPr="007E1519">
        <w:rPr>
          <w:highlight w:val="yellow"/>
          <w:lang w:eastAsia="zh-CN"/>
        </w:rPr>
        <w:t>dual connectivity only</w:t>
      </w:r>
      <w:r w:rsidR="00BE6409">
        <w:rPr>
          <w:lang w:eastAsia="zh-CN"/>
        </w:rPr>
        <w:t>)</w:t>
      </w:r>
    </w:p>
    <w:p w:rsidR="002773E5" w:rsidRDefault="002773E5" w:rsidP="002773E5">
      <w:pPr>
        <w:numPr>
          <w:ilvl w:val="1"/>
          <w:numId w:val="39"/>
        </w:numPr>
        <w:rPr>
          <w:lang w:val="en-US" w:eastAsia="zh-CN"/>
        </w:rPr>
      </w:pPr>
      <w:r>
        <w:rPr>
          <w:lang w:val="en-US" w:eastAsia="zh-CN"/>
        </w:rPr>
        <w:t>Note : This is specified as a missed ACK/NACK rate, however the rate could not be met if the UE made more than one interruption on every transition. In practice it may have to avoid interruptions on some transitions to achieve the missed ACK/NACK rate</w:t>
      </w:r>
    </w:p>
    <w:p w:rsidR="00096190" w:rsidRDefault="00096190" w:rsidP="00096190">
      <w:pPr>
        <w:numPr>
          <w:ilvl w:val="0"/>
          <w:numId w:val="39"/>
        </w:numPr>
        <w:rPr>
          <w:lang w:val="en-US" w:eastAsia="zh-CN"/>
        </w:rPr>
      </w:pPr>
      <w:r>
        <w:rPr>
          <w:lang w:val="en-US" w:eastAsia="zh-CN"/>
        </w:rPr>
        <w:t>Each transition from non-DRX to DRX</w:t>
      </w:r>
      <w:r w:rsidR="00BE6409">
        <w:rPr>
          <w:lang w:val="en-US" w:eastAsia="zh-CN"/>
        </w:rPr>
        <w:t xml:space="preserve"> (</w:t>
      </w:r>
      <w:r w:rsidR="00BE6409" w:rsidRPr="007E1519">
        <w:rPr>
          <w:highlight w:val="yellow"/>
          <w:lang w:val="en-US" w:eastAsia="zh-CN"/>
        </w:rPr>
        <w:t>dual connectivity only</w:t>
      </w:r>
      <w:r w:rsidR="00BE6409">
        <w:rPr>
          <w:lang w:val="en-US" w:eastAsia="zh-CN"/>
        </w:rPr>
        <w:t>)</w:t>
      </w:r>
    </w:p>
    <w:p w:rsidR="00096190" w:rsidRDefault="00096190" w:rsidP="00096190">
      <w:pPr>
        <w:numPr>
          <w:ilvl w:val="0"/>
          <w:numId w:val="39"/>
        </w:numPr>
        <w:rPr>
          <w:lang w:val="en-US" w:eastAsia="zh-CN"/>
        </w:rPr>
      </w:pPr>
      <w:r>
        <w:rPr>
          <w:lang w:val="en-US" w:eastAsia="zh-CN"/>
        </w:rPr>
        <w:lastRenderedPageBreak/>
        <w:t>Each Scell addition or release command</w:t>
      </w:r>
    </w:p>
    <w:p w:rsidR="00096190" w:rsidRDefault="00096190" w:rsidP="00096190">
      <w:pPr>
        <w:numPr>
          <w:ilvl w:val="0"/>
          <w:numId w:val="39"/>
        </w:numPr>
        <w:rPr>
          <w:lang w:val="en-US" w:eastAsia="zh-CN"/>
        </w:rPr>
      </w:pPr>
      <w:r>
        <w:rPr>
          <w:lang w:val="en-US" w:eastAsia="zh-CN"/>
        </w:rPr>
        <w:t>Each Scell activation or deactivation command</w:t>
      </w:r>
    </w:p>
    <w:p w:rsidR="00096190" w:rsidRDefault="00096190" w:rsidP="00096190">
      <w:pPr>
        <w:numPr>
          <w:ilvl w:val="0"/>
          <w:numId w:val="39"/>
        </w:numPr>
        <w:rPr>
          <w:lang w:val="en-US" w:eastAsia="zh-CN"/>
        </w:rPr>
      </w:pPr>
      <w:r>
        <w:rPr>
          <w:lang w:val="en-US" w:eastAsia="zh-CN"/>
        </w:rPr>
        <w:t>Once in each deactivated Scell measurement cycle</w:t>
      </w:r>
    </w:p>
    <w:p w:rsidR="00BE6409" w:rsidRPr="00BE6409" w:rsidRDefault="00BE6409" w:rsidP="00BE6409">
      <w:pPr>
        <w:numPr>
          <w:ilvl w:val="1"/>
          <w:numId w:val="39"/>
        </w:numPr>
        <w:rPr>
          <w:lang w:val="en-US" w:eastAsia="zh-CN"/>
        </w:rPr>
      </w:pPr>
      <w:r>
        <w:rPr>
          <w:lang w:val="en-US" w:eastAsia="zh-CN"/>
        </w:rPr>
        <w:t>Note : This is specified as a missed ACK/NACK rate, however the rate could not be met if the UE made more than one interruption on every measurement cycle. In practice it may have to avoid interruptions on some measurement cycles to achieve the missed ACK/NACK rate</w:t>
      </w:r>
    </w:p>
    <w:p w:rsidR="00096190" w:rsidRDefault="00096190" w:rsidP="00096190">
      <w:pPr>
        <w:numPr>
          <w:ilvl w:val="0"/>
          <w:numId w:val="39"/>
        </w:numPr>
        <w:rPr>
          <w:lang w:val="en-US" w:eastAsia="zh-CN"/>
        </w:rPr>
      </w:pPr>
      <w:r>
        <w:rPr>
          <w:lang w:val="en-US" w:eastAsia="zh-CN"/>
        </w:rPr>
        <w:t>Once for each SUL/UL carrier configuration/deconfiguration command.</w:t>
      </w:r>
    </w:p>
    <w:p w:rsidR="00096190" w:rsidRPr="00BE6409" w:rsidRDefault="00096190" w:rsidP="00096190">
      <w:pPr>
        <w:numPr>
          <w:ilvl w:val="0"/>
          <w:numId w:val="39"/>
        </w:numPr>
        <w:rPr>
          <w:lang w:val="en-US" w:eastAsia="zh-CN"/>
        </w:rPr>
      </w:pPr>
      <w:r>
        <w:rPr>
          <w:lang w:val="en-US" w:eastAsia="zh-CN"/>
        </w:rPr>
        <w:t xml:space="preserve">Once for each </w:t>
      </w:r>
      <w:r w:rsidRPr="00BE78B0">
        <w:rPr>
          <w:rFonts w:ascii="Tms Rmn" w:hAnsi="Tms Rmn"/>
          <w:lang w:eastAsia="zh-CN"/>
        </w:rPr>
        <w:t>UL/DL BWP</w:t>
      </w:r>
      <w:r>
        <w:rPr>
          <w:rFonts w:ascii="Tms Rmn" w:hAnsi="Tms Rmn"/>
          <w:lang w:eastAsia="zh-CN"/>
        </w:rPr>
        <w:t xml:space="preserve"> switch command</w:t>
      </w:r>
    </w:p>
    <w:p w:rsidR="00BE6409" w:rsidRDefault="00BE6409" w:rsidP="00BE6409">
      <w:pPr>
        <w:rPr>
          <w:rFonts w:ascii="Tms Rmn" w:hAnsi="Tms Rmn"/>
          <w:lang w:eastAsia="zh-CN"/>
        </w:rPr>
      </w:pPr>
      <w:r>
        <w:rPr>
          <w:rFonts w:ascii="Tms Rmn" w:hAnsi="Tms Rmn"/>
          <w:lang w:eastAsia="zh-CN"/>
        </w:rPr>
        <w:t xml:space="preserve">Interruptions are allowed to reconfigure RF, either changing the bandwidth/operating frequency of an active RF chain or switching on/off an RF chain. The physical interrupt durations (for example in </w:t>
      </w:r>
      <w:r>
        <w:rPr>
          <w:lang w:eastAsia="zh-CN"/>
        </w:rPr>
        <w:t>µ</w:t>
      </w:r>
      <w:r>
        <w:rPr>
          <w:rFonts w:ascii="Tms Rmn" w:hAnsi="Tms Rmn"/>
          <w:lang w:eastAsia="zh-CN"/>
        </w:rPr>
        <w:t>S) are unaffected by synchronous or asynchronous operation between the aggressor and victim carriers, but the impact of the interruption in slots/subframes depends on the timing relationship between aggressor and victim, which in turn depends on the sub-carrier spacing of the victim.</w:t>
      </w:r>
    </w:p>
    <w:p w:rsidR="00D81B10" w:rsidRPr="00BE6409" w:rsidRDefault="00D81B10" w:rsidP="00BE6409">
      <w:pPr>
        <w:rPr>
          <w:lang w:val="en-US" w:eastAsia="zh-CN"/>
        </w:rPr>
      </w:pPr>
      <w:r>
        <w:rPr>
          <w:rFonts w:ascii="Tms Rmn" w:hAnsi="Tms Rmn"/>
          <w:lang w:eastAsia="zh-CN"/>
        </w:rPr>
        <w:t xml:space="preserve">In the case of Scell </w:t>
      </w:r>
      <w:r w:rsidR="007E1519">
        <w:rPr>
          <w:rFonts w:ascii="Tms Rmn" w:hAnsi="Tms Rmn"/>
          <w:lang w:eastAsia="zh-CN"/>
        </w:rPr>
        <w:t xml:space="preserve"> activation and </w:t>
      </w:r>
      <w:r>
        <w:rPr>
          <w:rFonts w:ascii="Tms Rmn" w:hAnsi="Tms Rmn"/>
          <w:lang w:eastAsia="zh-CN"/>
        </w:rPr>
        <w:t xml:space="preserve">deactivation only, </w:t>
      </w:r>
      <w:r w:rsidR="007E1519">
        <w:rPr>
          <w:rFonts w:ascii="Tms Rmn" w:hAnsi="Tms Rmn"/>
          <w:lang w:eastAsia="zh-CN"/>
        </w:rPr>
        <w:t>there is a time window during which the activation, and corresponding interruption should occur, based on T</w:t>
      </w:r>
      <w:r w:rsidR="007E1519" w:rsidRPr="007E1519">
        <w:rPr>
          <w:rFonts w:ascii="Tms Rmn" w:hAnsi="Tms Rmn"/>
          <w:vertAlign w:val="subscript"/>
          <w:lang w:eastAsia="zh-CN"/>
        </w:rPr>
        <w:t>harq</w:t>
      </w:r>
      <w:r w:rsidR="007E1519">
        <w:rPr>
          <w:rFonts w:ascii="Tms Rmn" w:hAnsi="Tms Rmn"/>
          <w:lang w:eastAsia="zh-CN"/>
        </w:rPr>
        <w:t>.</w:t>
      </w:r>
    </w:p>
    <w:p w:rsidR="00BE6409" w:rsidRDefault="00BE6409" w:rsidP="00BE6409">
      <w:pPr>
        <w:rPr>
          <w:rFonts w:ascii="Tms Rmn" w:hAnsi="Tms Rmn"/>
          <w:lang w:eastAsia="zh-CN"/>
        </w:rPr>
      </w:pPr>
      <w:r>
        <w:rPr>
          <w:rFonts w:ascii="Tms Rmn" w:hAnsi="Tms Rmn"/>
          <w:lang w:eastAsia="zh-CN"/>
        </w:rPr>
        <w:t>There is an equivalence between release 15 licensed scenarios and the agreed NR-U scenarios A-C.</w:t>
      </w:r>
    </w:p>
    <w:p w:rsidR="00BE6409" w:rsidRDefault="00BE6409" w:rsidP="00BE6409">
      <w:pPr>
        <w:rPr>
          <w:rFonts w:ascii="Tms Rmn" w:hAnsi="Tms Rmn"/>
          <w:lang w:eastAsia="zh-CN"/>
        </w:rPr>
      </w:pPr>
      <w:r>
        <w:rPr>
          <w:rFonts w:ascii="Tms Rmn" w:hAnsi="Tms Rmn"/>
          <w:lang w:eastAsia="zh-CN"/>
        </w:rPr>
        <w:t>Scenario A: NR carrier aggregation, where the Scell(s) are NR-U cells</w:t>
      </w:r>
    </w:p>
    <w:p w:rsidR="00BE6409" w:rsidRDefault="00BE6409" w:rsidP="00BE6409">
      <w:pPr>
        <w:rPr>
          <w:rFonts w:ascii="Tms Rmn" w:hAnsi="Tms Rmn"/>
          <w:lang w:eastAsia="zh-CN"/>
        </w:rPr>
      </w:pPr>
      <w:r>
        <w:rPr>
          <w:rFonts w:ascii="Tms Rmn" w:hAnsi="Tms Rmn"/>
          <w:lang w:eastAsia="zh-CN"/>
        </w:rPr>
        <w:t>Scenario B : EN-DC where the PSCell/Scell(s) are NR-U cells</w:t>
      </w:r>
    </w:p>
    <w:p w:rsidR="00BE6409" w:rsidRDefault="00BE6409" w:rsidP="00BE6409">
      <w:pPr>
        <w:rPr>
          <w:rFonts w:ascii="Tms Rmn" w:hAnsi="Tms Rmn"/>
          <w:lang w:eastAsia="zh-CN"/>
        </w:rPr>
      </w:pPr>
      <w:r>
        <w:rPr>
          <w:rFonts w:ascii="Tms Rmn" w:hAnsi="Tms Rmn"/>
          <w:lang w:eastAsia="zh-CN"/>
        </w:rPr>
        <w:t xml:space="preserve">Scenario C: </w:t>
      </w:r>
      <w:r w:rsidR="00D81B10">
        <w:rPr>
          <w:rFonts w:ascii="Tms Rmn" w:hAnsi="Tms Rmn"/>
          <w:lang w:eastAsia="zh-CN"/>
        </w:rPr>
        <w:t>SA-</w:t>
      </w:r>
      <w:r>
        <w:rPr>
          <w:rFonts w:ascii="Tms Rmn" w:hAnsi="Tms Rmn"/>
          <w:lang w:eastAsia="zh-CN"/>
        </w:rPr>
        <w:t>NR</w:t>
      </w:r>
      <w:r w:rsidR="00D81B10">
        <w:rPr>
          <w:rFonts w:ascii="Tms Rmn" w:hAnsi="Tms Rmn"/>
          <w:lang w:eastAsia="zh-CN"/>
        </w:rPr>
        <w:t xml:space="preserve"> where PCell/SCell(s) are NR-U cells</w:t>
      </w:r>
    </w:p>
    <w:p w:rsidR="00D81B10" w:rsidRDefault="007E1519" w:rsidP="00BE6409">
      <w:pPr>
        <w:rPr>
          <w:lang w:val="en-US" w:eastAsia="zh-CN"/>
        </w:rPr>
      </w:pPr>
      <w:r>
        <w:rPr>
          <w:lang w:val="en-US" w:eastAsia="zh-CN"/>
        </w:rPr>
        <w:t xml:space="preserve">Since the UE has no prior information on LBT </w:t>
      </w:r>
      <w:r w:rsidR="00574D28">
        <w:rPr>
          <w:lang w:val="en-US" w:eastAsia="zh-CN"/>
        </w:rPr>
        <w:t>occurrence</w:t>
      </w:r>
      <w:r>
        <w:rPr>
          <w:lang w:val="en-US" w:eastAsia="zh-CN"/>
        </w:rPr>
        <w:t>, it will reconfigure the RF chains in the same way for frequencies where CCA is used by the gNB compared with frequencies where no CCA is used (licensed carriers). This is the basis for the reuse of requirements which was agreed in RAN4#92.</w:t>
      </w:r>
    </w:p>
    <w:p w:rsidR="007E1519" w:rsidRDefault="007E1519" w:rsidP="00BE6409">
      <w:pPr>
        <w:rPr>
          <w:lang w:val="en-US" w:eastAsia="zh-CN"/>
        </w:rPr>
      </w:pPr>
      <w:r>
        <w:rPr>
          <w:lang w:val="en-US" w:eastAsia="zh-CN"/>
        </w:rPr>
        <w:t>Reviewing the agreements, there appear to be two open issues.</w:t>
      </w:r>
    </w:p>
    <w:p w:rsidR="007E1519" w:rsidRPr="00C20156" w:rsidRDefault="007E1519" w:rsidP="007E1519">
      <w:pPr>
        <w:numPr>
          <w:ilvl w:val="0"/>
          <w:numId w:val="40"/>
        </w:numPr>
        <w:rPr>
          <w:u w:val="single"/>
          <w:lang w:val="en-US" w:eastAsia="zh-CN"/>
        </w:rPr>
      </w:pPr>
      <w:r w:rsidRPr="00C20156">
        <w:rPr>
          <w:u w:val="single"/>
          <w:lang w:val="en-US" w:eastAsia="zh-CN"/>
        </w:rPr>
        <w:t>The agreements do not cover deactivated Scell measurements.</w:t>
      </w:r>
    </w:p>
    <w:p w:rsidR="00BC3922" w:rsidRDefault="007E1519" w:rsidP="006B6666">
      <w:pPr>
        <w:rPr>
          <w:lang w:val="en-US" w:eastAsia="zh-CN"/>
        </w:rPr>
      </w:pPr>
      <w:r>
        <w:rPr>
          <w:lang w:val="en-US" w:eastAsia="zh-CN"/>
        </w:rPr>
        <w:t>Deactivated Scell measurement requirements are applicable in all of scenarios A-C. Our view is that the reconfiguration of an NR-U RF chain should be the same as the reconfiguration of a non NR-U RF chain. So we think that in addition to the agreements from RAN4#92, it can be agreed</w:t>
      </w:r>
    </w:p>
    <w:p w:rsidR="00C20156" w:rsidRDefault="007E1519" w:rsidP="007E1519">
      <w:pPr>
        <w:rPr>
          <w:b/>
          <w:lang w:val="en-US" w:eastAsia="zh-CN"/>
        </w:rPr>
      </w:pPr>
      <w:r>
        <w:rPr>
          <w:b/>
          <w:lang w:val="en-US" w:eastAsia="zh-CN"/>
        </w:rPr>
        <w:t xml:space="preserve">Proposal 1 : </w:t>
      </w:r>
    </w:p>
    <w:p w:rsidR="007E1519" w:rsidRPr="007E1519" w:rsidRDefault="007E1519" w:rsidP="007E1519">
      <w:pPr>
        <w:rPr>
          <w:b/>
          <w:lang w:val="en-US" w:eastAsia="zh-CN"/>
        </w:rPr>
      </w:pPr>
      <w:r w:rsidRPr="007E1519">
        <w:rPr>
          <w:b/>
          <w:lang w:val="en-US" w:eastAsia="zh-CN"/>
        </w:rPr>
        <w:t>•</w:t>
      </w:r>
      <w:r w:rsidRPr="007E1519">
        <w:rPr>
          <w:b/>
          <w:lang w:val="en-US" w:eastAsia="zh-CN"/>
        </w:rPr>
        <w:tab/>
        <w:t xml:space="preserve">The interruption due to </w:t>
      </w:r>
      <w:r w:rsidR="00C20156">
        <w:rPr>
          <w:b/>
          <w:lang w:val="en-US" w:eastAsia="zh-CN"/>
        </w:rPr>
        <w:t>deactivated Scell measurements</w:t>
      </w:r>
      <w:r w:rsidRPr="007E1519">
        <w:rPr>
          <w:b/>
          <w:lang w:val="en-US" w:eastAsia="zh-CN"/>
        </w:rPr>
        <w:t xml:space="preserve"> applies in all scenarios A-C</w:t>
      </w:r>
    </w:p>
    <w:p w:rsidR="007E1519" w:rsidRDefault="007E1519" w:rsidP="00C20156">
      <w:pPr>
        <w:ind w:firstLine="284"/>
        <w:rPr>
          <w:b/>
          <w:lang w:val="en-US" w:eastAsia="zh-CN"/>
        </w:rPr>
      </w:pPr>
      <w:r w:rsidRPr="007E1519">
        <w:rPr>
          <w:b/>
          <w:lang w:val="en-US" w:eastAsia="zh-CN"/>
        </w:rPr>
        <w:t>•</w:t>
      </w:r>
      <w:r w:rsidRPr="007E1519">
        <w:rPr>
          <w:b/>
          <w:lang w:val="en-US" w:eastAsia="zh-CN"/>
        </w:rPr>
        <w:tab/>
        <w:t xml:space="preserve">The interruption due to </w:t>
      </w:r>
      <w:r w:rsidR="00C20156">
        <w:rPr>
          <w:b/>
          <w:lang w:val="en-US" w:eastAsia="zh-CN"/>
        </w:rPr>
        <w:t>deactivated Scell measurements</w:t>
      </w:r>
      <w:r w:rsidRPr="007E1519">
        <w:rPr>
          <w:b/>
          <w:lang w:val="en-US" w:eastAsia="zh-CN"/>
        </w:rPr>
        <w:t xml:space="preserve"> for an NR-U aggressor cell can reuse the requirements for release 15 NR </w:t>
      </w:r>
      <w:r w:rsidR="00C20156">
        <w:rPr>
          <w:b/>
          <w:lang w:val="en-US" w:eastAsia="zh-CN"/>
        </w:rPr>
        <w:t>deactivated Scell measurements</w:t>
      </w:r>
    </w:p>
    <w:p w:rsidR="00C20156" w:rsidRPr="00C20156" w:rsidRDefault="00C20156" w:rsidP="00C20156">
      <w:pPr>
        <w:numPr>
          <w:ilvl w:val="0"/>
          <w:numId w:val="40"/>
        </w:numPr>
        <w:rPr>
          <w:u w:val="single"/>
          <w:lang w:val="en-US" w:eastAsia="zh-CN"/>
        </w:rPr>
      </w:pPr>
      <w:r w:rsidRPr="00C20156">
        <w:rPr>
          <w:u w:val="single"/>
          <w:lang w:val="en-US" w:eastAsia="zh-CN"/>
        </w:rPr>
        <w:t>The</w:t>
      </w:r>
      <w:r>
        <w:rPr>
          <w:u w:val="single"/>
          <w:lang w:val="en-US" w:eastAsia="zh-CN"/>
        </w:rPr>
        <w:t xml:space="preserve"> definition of Tharq needs to be clarified.</w:t>
      </w:r>
    </w:p>
    <w:p w:rsidR="00C20156" w:rsidRDefault="00C20156" w:rsidP="00C20156">
      <w:pPr>
        <w:rPr>
          <w:lang w:val="en-US" w:eastAsia="zh-CN"/>
        </w:rPr>
      </w:pPr>
      <w:r w:rsidRPr="00C20156">
        <w:rPr>
          <w:lang w:val="en-US" w:eastAsia="zh-CN"/>
        </w:rPr>
        <w:t>A</w:t>
      </w:r>
      <w:r w:rsidR="00474854">
        <w:rPr>
          <w:lang w:val="en-US" w:eastAsia="zh-CN"/>
        </w:rPr>
        <w:t xml:space="preserve">nother </w:t>
      </w:r>
      <w:r>
        <w:rPr>
          <w:lang w:val="en-US" w:eastAsia="zh-CN"/>
        </w:rPr>
        <w:t>issue is the use of T</w:t>
      </w:r>
      <w:r w:rsidRPr="00C20156">
        <w:rPr>
          <w:vertAlign w:val="subscript"/>
          <w:lang w:val="en-US" w:eastAsia="zh-CN"/>
        </w:rPr>
        <w:t>harq</w:t>
      </w:r>
      <w:r>
        <w:rPr>
          <w:lang w:val="en-US" w:eastAsia="zh-CN"/>
        </w:rPr>
        <w:t xml:space="preserve"> in requirements for activation and deactivation. The intention is that the UE executes  the activation/</w:t>
      </w:r>
      <w:r w:rsidR="00574D28">
        <w:rPr>
          <w:lang w:val="en-US" w:eastAsia="zh-CN"/>
        </w:rPr>
        <w:t>deactivation</w:t>
      </w:r>
      <w:r>
        <w:rPr>
          <w:lang w:val="en-US" w:eastAsia="zh-CN"/>
        </w:rPr>
        <w:t xml:space="preserve"> procedure in a time window around the time that it would send HARQ feedback, for example for the MAC command triggering the activation/deactivation. In the case of NR-U, the UE performs CCA prior to sending HARQ feedback, so the actual transmission of HARQ feedback may be delayed in the NR-U case. Our expectation is that the UE would activate/deactivate the Scell regardless of the CCA status of the uplink channel, and there should be no requirement to delay Scell activation/deactivation in case the CCA results in a failure to transmit the ACK at the first opportunity. Hence we propose</w:t>
      </w:r>
    </w:p>
    <w:p w:rsidR="00474854" w:rsidRPr="00C20156" w:rsidRDefault="0054052B" w:rsidP="00C20156">
      <w:pPr>
        <w:rPr>
          <w:b/>
          <w:lang w:val="en-US" w:eastAsia="zh-CN"/>
        </w:rPr>
      </w:pPr>
      <w:r>
        <w:rPr>
          <w:b/>
          <w:lang w:val="en-US" w:eastAsia="zh-CN"/>
        </w:rPr>
        <w:t>Proposal 2 : The definition of Tharq in activation and interruption requirements is clarified such that for NR-U it represents the earliest attempt for the UE to send HARQ feedback, regardless if the feedback is successful, or fails due to uplink LBT</w:t>
      </w: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474854" w:rsidRPr="00474854" w:rsidRDefault="00474854" w:rsidP="00474854">
      <w:pPr>
        <w:rPr>
          <w:lang w:val="en-US" w:eastAsia="zh-CN"/>
        </w:rPr>
      </w:pPr>
      <w:r w:rsidRPr="00474854">
        <w:rPr>
          <w:lang w:val="en-US" w:eastAsia="zh-CN"/>
        </w:rPr>
        <w:t>In this</w:t>
      </w:r>
      <w:r>
        <w:rPr>
          <w:lang w:val="en-US" w:eastAsia="zh-CN"/>
        </w:rPr>
        <w:t xml:space="preserve"> contribution we evaluate interruption requirements for NR-U. Our analysis indicates that the agreements from RAN4#92 are already rather complete for </w:t>
      </w:r>
      <w:r w:rsidR="00574D28">
        <w:rPr>
          <w:lang w:val="en-US" w:eastAsia="zh-CN"/>
        </w:rPr>
        <w:t>scenarios</w:t>
      </w:r>
      <w:r>
        <w:rPr>
          <w:lang w:val="en-US" w:eastAsia="zh-CN"/>
        </w:rPr>
        <w:t xml:space="preserve"> A-C, however there are two open issues. To resolve the open issues, we propose :</w:t>
      </w:r>
    </w:p>
    <w:p w:rsidR="00474854" w:rsidRDefault="00474854" w:rsidP="00474854">
      <w:pPr>
        <w:rPr>
          <w:b/>
          <w:lang w:val="en-US" w:eastAsia="zh-CN"/>
        </w:rPr>
      </w:pPr>
      <w:r>
        <w:rPr>
          <w:b/>
          <w:lang w:val="en-US" w:eastAsia="zh-CN"/>
        </w:rPr>
        <w:t xml:space="preserve">Proposal 1 : </w:t>
      </w:r>
    </w:p>
    <w:p w:rsidR="00474854" w:rsidRPr="007E1519" w:rsidRDefault="00474854" w:rsidP="00474854">
      <w:pPr>
        <w:rPr>
          <w:b/>
          <w:lang w:val="en-US" w:eastAsia="zh-CN"/>
        </w:rPr>
      </w:pPr>
      <w:r w:rsidRPr="007E1519">
        <w:rPr>
          <w:b/>
          <w:lang w:val="en-US" w:eastAsia="zh-CN"/>
        </w:rPr>
        <w:t>•</w:t>
      </w:r>
      <w:r w:rsidRPr="007E1519">
        <w:rPr>
          <w:b/>
          <w:lang w:val="en-US" w:eastAsia="zh-CN"/>
        </w:rPr>
        <w:tab/>
        <w:t xml:space="preserve">The interruption due to </w:t>
      </w:r>
      <w:r>
        <w:rPr>
          <w:b/>
          <w:lang w:val="en-US" w:eastAsia="zh-CN"/>
        </w:rPr>
        <w:t>deactivated Scell measurements</w:t>
      </w:r>
      <w:r w:rsidRPr="007E1519">
        <w:rPr>
          <w:b/>
          <w:lang w:val="en-US" w:eastAsia="zh-CN"/>
        </w:rPr>
        <w:t xml:space="preserve"> applies in all scenarios A-C</w:t>
      </w:r>
    </w:p>
    <w:p w:rsidR="00474854" w:rsidRDefault="00474854" w:rsidP="00474854">
      <w:pPr>
        <w:ind w:firstLine="284"/>
        <w:rPr>
          <w:b/>
          <w:lang w:val="en-US" w:eastAsia="zh-CN"/>
        </w:rPr>
      </w:pPr>
      <w:r w:rsidRPr="007E1519">
        <w:rPr>
          <w:b/>
          <w:lang w:val="en-US" w:eastAsia="zh-CN"/>
        </w:rPr>
        <w:t>•</w:t>
      </w:r>
      <w:r w:rsidRPr="007E1519">
        <w:rPr>
          <w:b/>
          <w:lang w:val="en-US" w:eastAsia="zh-CN"/>
        </w:rPr>
        <w:tab/>
        <w:t xml:space="preserve">The interruption due to </w:t>
      </w:r>
      <w:r>
        <w:rPr>
          <w:b/>
          <w:lang w:val="en-US" w:eastAsia="zh-CN"/>
        </w:rPr>
        <w:t>deactivated Scell measurements</w:t>
      </w:r>
      <w:r w:rsidRPr="007E1519">
        <w:rPr>
          <w:b/>
          <w:lang w:val="en-US" w:eastAsia="zh-CN"/>
        </w:rPr>
        <w:t xml:space="preserve"> for an NR-U aggressor cell can reuse the requirements for release 15 NR </w:t>
      </w:r>
      <w:r>
        <w:rPr>
          <w:b/>
          <w:lang w:val="en-US" w:eastAsia="zh-CN"/>
        </w:rPr>
        <w:t>deactivated Scell measurements</w:t>
      </w:r>
    </w:p>
    <w:p w:rsidR="00474854" w:rsidRDefault="00474854" w:rsidP="00474854">
      <w:pPr>
        <w:rPr>
          <w:b/>
          <w:lang w:val="en-US" w:eastAsia="zh-CN"/>
        </w:rPr>
      </w:pPr>
    </w:p>
    <w:p w:rsidR="00474854" w:rsidRDefault="00474854" w:rsidP="00474854">
      <w:pPr>
        <w:rPr>
          <w:b/>
          <w:lang w:val="en-US" w:eastAsia="zh-CN"/>
        </w:rPr>
      </w:pPr>
      <w:r>
        <w:rPr>
          <w:b/>
          <w:lang w:val="en-US" w:eastAsia="zh-CN"/>
        </w:rPr>
        <w:t xml:space="preserve">Proposal 2 : The definition of Tharq </w:t>
      </w:r>
      <w:r w:rsidR="0054052B">
        <w:rPr>
          <w:b/>
          <w:lang w:val="en-US" w:eastAsia="zh-CN"/>
        </w:rPr>
        <w:t xml:space="preserve">in activation and interruption requirements </w:t>
      </w:r>
      <w:r>
        <w:rPr>
          <w:b/>
          <w:lang w:val="en-US" w:eastAsia="zh-CN"/>
        </w:rPr>
        <w:t>is clarified such that for NR-U it represents the earliest attempt for the UE to send HARQ feedback, regardless if the feedback is successful, or fails due to uplink LBT</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1" w:name="_Ref12541337"/>
      <w:bookmarkStart w:id="2"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1"/>
      <w:r>
        <w:rPr>
          <w:szCs w:val="20"/>
          <w:lang w:eastAsia="zh-CN"/>
        </w:rPr>
        <w:t>Intel</w:t>
      </w:r>
      <w:bookmarkEnd w:id="2"/>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C63" w:rsidRDefault="00297C63">
      <w:r>
        <w:separator/>
      </w:r>
    </w:p>
  </w:endnote>
  <w:endnote w:type="continuationSeparator" w:id="0">
    <w:p w:rsidR="00297C63" w:rsidRDefault="0029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C63" w:rsidRDefault="00297C63">
      <w:r>
        <w:separator/>
      </w:r>
    </w:p>
  </w:footnote>
  <w:footnote w:type="continuationSeparator" w:id="0">
    <w:p w:rsidR="00297C63" w:rsidRDefault="00297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0638"/>
    <w:multiLevelType w:val="hybridMultilevel"/>
    <w:tmpl w:val="9918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D34571"/>
    <w:multiLevelType w:val="hybridMultilevel"/>
    <w:tmpl w:val="1E3E9B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77A00"/>
    <w:multiLevelType w:val="hybridMultilevel"/>
    <w:tmpl w:val="80187638"/>
    <w:lvl w:ilvl="0" w:tplc="C2EEA6BA">
      <w:start w:val="1"/>
      <w:numFmt w:val="bullet"/>
      <w:lvlText w:val="•"/>
      <w:lvlJc w:val="left"/>
      <w:pPr>
        <w:tabs>
          <w:tab w:val="num" w:pos="720"/>
        </w:tabs>
        <w:ind w:left="720" w:hanging="360"/>
      </w:pPr>
      <w:rPr>
        <w:rFonts w:ascii="Arial" w:hAnsi="Arial" w:hint="default"/>
      </w:rPr>
    </w:lvl>
    <w:lvl w:ilvl="1" w:tplc="BAC0D4DA">
      <w:numFmt w:val="none"/>
      <w:lvlText w:val=""/>
      <w:lvlJc w:val="left"/>
      <w:pPr>
        <w:tabs>
          <w:tab w:val="num" w:pos="360"/>
        </w:tabs>
      </w:pPr>
    </w:lvl>
    <w:lvl w:ilvl="2" w:tplc="6778C9E2" w:tentative="1">
      <w:start w:val="1"/>
      <w:numFmt w:val="bullet"/>
      <w:lvlText w:val="•"/>
      <w:lvlJc w:val="left"/>
      <w:pPr>
        <w:tabs>
          <w:tab w:val="num" w:pos="2160"/>
        </w:tabs>
        <w:ind w:left="2160" w:hanging="360"/>
      </w:pPr>
      <w:rPr>
        <w:rFonts w:ascii="Arial" w:hAnsi="Arial" w:hint="default"/>
      </w:rPr>
    </w:lvl>
    <w:lvl w:ilvl="3" w:tplc="8776612A" w:tentative="1">
      <w:start w:val="1"/>
      <w:numFmt w:val="bullet"/>
      <w:lvlText w:val="•"/>
      <w:lvlJc w:val="left"/>
      <w:pPr>
        <w:tabs>
          <w:tab w:val="num" w:pos="2880"/>
        </w:tabs>
        <w:ind w:left="2880" w:hanging="360"/>
      </w:pPr>
      <w:rPr>
        <w:rFonts w:ascii="Arial" w:hAnsi="Arial" w:hint="default"/>
      </w:rPr>
    </w:lvl>
    <w:lvl w:ilvl="4" w:tplc="1BEA5468" w:tentative="1">
      <w:start w:val="1"/>
      <w:numFmt w:val="bullet"/>
      <w:lvlText w:val="•"/>
      <w:lvlJc w:val="left"/>
      <w:pPr>
        <w:tabs>
          <w:tab w:val="num" w:pos="3600"/>
        </w:tabs>
        <w:ind w:left="3600" w:hanging="360"/>
      </w:pPr>
      <w:rPr>
        <w:rFonts w:ascii="Arial" w:hAnsi="Arial" w:hint="default"/>
      </w:rPr>
    </w:lvl>
    <w:lvl w:ilvl="5" w:tplc="B308D368" w:tentative="1">
      <w:start w:val="1"/>
      <w:numFmt w:val="bullet"/>
      <w:lvlText w:val="•"/>
      <w:lvlJc w:val="left"/>
      <w:pPr>
        <w:tabs>
          <w:tab w:val="num" w:pos="4320"/>
        </w:tabs>
        <w:ind w:left="4320" w:hanging="360"/>
      </w:pPr>
      <w:rPr>
        <w:rFonts w:ascii="Arial" w:hAnsi="Arial" w:hint="default"/>
      </w:rPr>
    </w:lvl>
    <w:lvl w:ilvl="6" w:tplc="DDEAE5C6" w:tentative="1">
      <w:start w:val="1"/>
      <w:numFmt w:val="bullet"/>
      <w:lvlText w:val="•"/>
      <w:lvlJc w:val="left"/>
      <w:pPr>
        <w:tabs>
          <w:tab w:val="num" w:pos="5040"/>
        </w:tabs>
        <w:ind w:left="5040" w:hanging="360"/>
      </w:pPr>
      <w:rPr>
        <w:rFonts w:ascii="Arial" w:hAnsi="Arial" w:hint="default"/>
      </w:rPr>
    </w:lvl>
    <w:lvl w:ilvl="7" w:tplc="59FC99B2" w:tentative="1">
      <w:start w:val="1"/>
      <w:numFmt w:val="bullet"/>
      <w:lvlText w:val="•"/>
      <w:lvlJc w:val="left"/>
      <w:pPr>
        <w:tabs>
          <w:tab w:val="num" w:pos="5760"/>
        </w:tabs>
        <w:ind w:left="5760" w:hanging="360"/>
      </w:pPr>
      <w:rPr>
        <w:rFonts w:ascii="Arial" w:hAnsi="Arial" w:hint="default"/>
      </w:rPr>
    </w:lvl>
    <w:lvl w:ilvl="8" w:tplc="E5E07C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4D2A"/>
    <w:multiLevelType w:val="hybridMultilevel"/>
    <w:tmpl w:val="4E1E5B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045510"/>
    <w:multiLevelType w:val="hybridMultilevel"/>
    <w:tmpl w:val="00F4FA70"/>
    <w:lvl w:ilvl="0" w:tplc="3E163784">
      <w:start w:val="1"/>
      <w:numFmt w:val="bullet"/>
      <w:lvlText w:val="•"/>
      <w:lvlJc w:val="left"/>
      <w:pPr>
        <w:tabs>
          <w:tab w:val="num" w:pos="720"/>
        </w:tabs>
        <w:ind w:left="720" w:hanging="360"/>
      </w:pPr>
      <w:rPr>
        <w:rFonts w:ascii="Arial" w:hAnsi="Arial" w:hint="default"/>
      </w:rPr>
    </w:lvl>
    <w:lvl w:ilvl="1" w:tplc="190A0C14">
      <w:numFmt w:val="none"/>
      <w:lvlText w:val=""/>
      <w:lvlJc w:val="left"/>
      <w:pPr>
        <w:tabs>
          <w:tab w:val="num" w:pos="360"/>
        </w:tabs>
      </w:pPr>
    </w:lvl>
    <w:lvl w:ilvl="2" w:tplc="A7D8A99E" w:tentative="1">
      <w:start w:val="1"/>
      <w:numFmt w:val="bullet"/>
      <w:lvlText w:val="•"/>
      <w:lvlJc w:val="left"/>
      <w:pPr>
        <w:tabs>
          <w:tab w:val="num" w:pos="2160"/>
        </w:tabs>
        <w:ind w:left="2160" w:hanging="360"/>
      </w:pPr>
      <w:rPr>
        <w:rFonts w:ascii="Arial" w:hAnsi="Arial" w:hint="default"/>
      </w:rPr>
    </w:lvl>
    <w:lvl w:ilvl="3" w:tplc="7B6A18B4" w:tentative="1">
      <w:start w:val="1"/>
      <w:numFmt w:val="bullet"/>
      <w:lvlText w:val="•"/>
      <w:lvlJc w:val="left"/>
      <w:pPr>
        <w:tabs>
          <w:tab w:val="num" w:pos="2880"/>
        </w:tabs>
        <w:ind w:left="2880" w:hanging="360"/>
      </w:pPr>
      <w:rPr>
        <w:rFonts w:ascii="Arial" w:hAnsi="Arial" w:hint="default"/>
      </w:rPr>
    </w:lvl>
    <w:lvl w:ilvl="4" w:tplc="028278A6" w:tentative="1">
      <w:start w:val="1"/>
      <w:numFmt w:val="bullet"/>
      <w:lvlText w:val="•"/>
      <w:lvlJc w:val="left"/>
      <w:pPr>
        <w:tabs>
          <w:tab w:val="num" w:pos="3600"/>
        </w:tabs>
        <w:ind w:left="3600" w:hanging="360"/>
      </w:pPr>
      <w:rPr>
        <w:rFonts w:ascii="Arial" w:hAnsi="Arial" w:hint="default"/>
      </w:rPr>
    </w:lvl>
    <w:lvl w:ilvl="5" w:tplc="1D5CD8AC" w:tentative="1">
      <w:start w:val="1"/>
      <w:numFmt w:val="bullet"/>
      <w:lvlText w:val="•"/>
      <w:lvlJc w:val="left"/>
      <w:pPr>
        <w:tabs>
          <w:tab w:val="num" w:pos="4320"/>
        </w:tabs>
        <w:ind w:left="4320" w:hanging="360"/>
      </w:pPr>
      <w:rPr>
        <w:rFonts w:ascii="Arial" w:hAnsi="Arial" w:hint="default"/>
      </w:rPr>
    </w:lvl>
    <w:lvl w:ilvl="6" w:tplc="F2B6BF8E" w:tentative="1">
      <w:start w:val="1"/>
      <w:numFmt w:val="bullet"/>
      <w:lvlText w:val="•"/>
      <w:lvlJc w:val="left"/>
      <w:pPr>
        <w:tabs>
          <w:tab w:val="num" w:pos="5040"/>
        </w:tabs>
        <w:ind w:left="5040" w:hanging="360"/>
      </w:pPr>
      <w:rPr>
        <w:rFonts w:ascii="Arial" w:hAnsi="Arial" w:hint="default"/>
      </w:rPr>
    </w:lvl>
    <w:lvl w:ilvl="7" w:tplc="5E1E2A68" w:tentative="1">
      <w:start w:val="1"/>
      <w:numFmt w:val="bullet"/>
      <w:lvlText w:val="•"/>
      <w:lvlJc w:val="left"/>
      <w:pPr>
        <w:tabs>
          <w:tab w:val="num" w:pos="5760"/>
        </w:tabs>
        <w:ind w:left="5760" w:hanging="360"/>
      </w:pPr>
      <w:rPr>
        <w:rFonts w:ascii="Arial" w:hAnsi="Arial" w:hint="default"/>
      </w:rPr>
    </w:lvl>
    <w:lvl w:ilvl="8" w:tplc="321258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7"/>
  </w:num>
  <w:num w:numId="3">
    <w:abstractNumId w:val="40"/>
  </w:num>
  <w:num w:numId="4">
    <w:abstractNumId w:val="13"/>
  </w:num>
  <w:num w:numId="5">
    <w:abstractNumId w:val="16"/>
  </w:num>
  <w:num w:numId="6">
    <w:abstractNumId w:val="33"/>
  </w:num>
  <w:num w:numId="7">
    <w:abstractNumId w:val="14"/>
  </w:num>
  <w:num w:numId="8">
    <w:abstractNumId w:val="26"/>
  </w:num>
  <w:num w:numId="9">
    <w:abstractNumId w:val="17"/>
  </w:num>
  <w:num w:numId="10">
    <w:abstractNumId w:val="18"/>
  </w:num>
  <w:num w:numId="11">
    <w:abstractNumId w:val="9"/>
  </w:num>
  <w:num w:numId="12">
    <w:abstractNumId w:val="23"/>
  </w:num>
  <w:num w:numId="13">
    <w:abstractNumId w:val="1"/>
  </w:num>
  <w:num w:numId="14">
    <w:abstractNumId w:val="2"/>
  </w:num>
  <w:num w:numId="15">
    <w:abstractNumId w:val="39"/>
  </w:num>
  <w:num w:numId="16">
    <w:abstractNumId w:val="24"/>
  </w:num>
  <w:num w:numId="17">
    <w:abstractNumId w:val="25"/>
  </w:num>
  <w:num w:numId="18">
    <w:abstractNumId w:val="12"/>
  </w:num>
  <w:num w:numId="19">
    <w:abstractNumId w:val="29"/>
  </w:num>
  <w:num w:numId="20">
    <w:abstractNumId w:val="31"/>
  </w:num>
  <w:num w:numId="21">
    <w:abstractNumId w:val="8"/>
  </w:num>
  <w:num w:numId="22">
    <w:abstractNumId w:val="35"/>
  </w:num>
  <w:num w:numId="23">
    <w:abstractNumId w:val="4"/>
  </w:num>
  <w:num w:numId="24">
    <w:abstractNumId w:val="27"/>
  </w:num>
  <w:num w:numId="25">
    <w:abstractNumId w:val="11"/>
  </w:num>
  <w:num w:numId="26">
    <w:abstractNumId w:val="30"/>
  </w:num>
  <w:num w:numId="27">
    <w:abstractNumId w:val="21"/>
  </w:num>
  <w:num w:numId="28">
    <w:abstractNumId w:val="22"/>
  </w:num>
  <w:num w:numId="29">
    <w:abstractNumId w:val="36"/>
  </w:num>
  <w:num w:numId="30">
    <w:abstractNumId w:val="32"/>
  </w:num>
  <w:num w:numId="31">
    <w:abstractNumId w:val="34"/>
  </w:num>
  <w:num w:numId="32">
    <w:abstractNumId w:val="15"/>
  </w:num>
  <w:num w:numId="33">
    <w:abstractNumId w:val="20"/>
  </w:num>
  <w:num w:numId="34">
    <w:abstractNumId w:val="3"/>
  </w:num>
  <w:num w:numId="35">
    <w:abstractNumId w:val="6"/>
  </w:num>
  <w:num w:numId="36">
    <w:abstractNumId w:val="7"/>
  </w:num>
  <w:num w:numId="37">
    <w:abstractNumId w:val="38"/>
  </w:num>
  <w:num w:numId="38">
    <w:abstractNumId w:val="10"/>
  </w:num>
  <w:num w:numId="39">
    <w:abstractNumId w:val="0"/>
  </w:num>
  <w:num w:numId="40">
    <w:abstractNumId w:val="5"/>
  </w:num>
  <w:num w:numId="41">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190"/>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988"/>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3E5"/>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97C63"/>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854"/>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52B"/>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D28"/>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A0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519"/>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409"/>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4DA3"/>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156"/>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B10"/>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422FA2"/>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298220516">
      <w:bodyDiv w:val="1"/>
      <w:marLeft w:val="0"/>
      <w:marRight w:val="0"/>
      <w:marTop w:val="0"/>
      <w:marBottom w:val="0"/>
      <w:divBdr>
        <w:top w:val="none" w:sz="0" w:space="0" w:color="auto"/>
        <w:left w:val="none" w:sz="0" w:space="0" w:color="auto"/>
        <w:bottom w:val="none" w:sz="0" w:space="0" w:color="auto"/>
        <w:right w:val="none" w:sz="0" w:space="0" w:color="auto"/>
      </w:divBdr>
      <w:divsChild>
        <w:div w:id="695348165">
          <w:marLeft w:val="360"/>
          <w:marRight w:val="0"/>
          <w:marTop w:val="200"/>
          <w:marBottom w:val="0"/>
          <w:divBdr>
            <w:top w:val="none" w:sz="0" w:space="0" w:color="auto"/>
            <w:left w:val="none" w:sz="0" w:space="0" w:color="auto"/>
            <w:bottom w:val="none" w:sz="0" w:space="0" w:color="auto"/>
            <w:right w:val="none" w:sz="0" w:space="0" w:color="auto"/>
          </w:divBdr>
        </w:div>
        <w:div w:id="784930578">
          <w:marLeft w:val="1080"/>
          <w:marRight w:val="0"/>
          <w:marTop w:val="100"/>
          <w:marBottom w:val="0"/>
          <w:divBdr>
            <w:top w:val="none" w:sz="0" w:space="0" w:color="auto"/>
            <w:left w:val="none" w:sz="0" w:space="0" w:color="auto"/>
            <w:bottom w:val="none" w:sz="0" w:space="0" w:color="auto"/>
            <w:right w:val="none" w:sz="0" w:space="0" w:color="auto"/>
          </w:divBdr>
        </w:div>
        <w:div w:id="1375811348">
          <w:marLeft w:val="1080"/>
          <w:marRight w:val="0"/>
          <w:marTop w:val="100"/>
          <w:marBottom w:val="0"/>
          <w:divBdr>
            <w:top w:val="none" w:sz="0" w:space="0" w:color="auto"/>
            <w:left w:val="none" w:sz="0" w:space="0" w:color="auto"/>
            <w:bottom w:val="none" w:sz="0" w:space="0" w:color="auto"/>
            <w:right w:val="none" w:sz="0" w:space="0" w:color="auto"/>
          </w:divBdr>
        </w:div>
        <w:div w:id="746148954">
          <w:marLeft w:val="360"/>
          <w:marRight w:val="0"/>
          <w:marTop w:val="200"/>
          <w:marBottom w:val="0"/>
          <w:divBdr>
            <w:top w:val="none" w:sz="0" w:space="0" w:color="auto"/>
            <w:left w:val="none" w:sz="0" w:space="0" w:color="auto"/>
            <w:bottom w:val="none" w:sz="0" w:space="0" w:color="auto"/>
            <w:right w:val="none" w:sz="0" w:space="0" w:color="auto"/>
          </w:divBdr>
        </w:div>
        <w:div w:id="2016565116">
          <w:marLeft w:val="360"/>
          <w:marRight w:val="0"/>
          <w:marTop w:val="200"/>
          <w:marBottom w:val="0"/>
          <w:divBdr>
            <w:top w:val="none" w:sz="0" w:space="0" w:color="auto"/>
            <w:left w:val="none" w:sz="0" w:space="0" w:color="auto"/>
            <w:bottom w:val="none" w:sz="0" w:space="0" w:color="auto"/>
            <w:right w:val="none" w:sz="0" w:space="0" w:color="auto"/>
          </w:divBdr>
        </w:div>
        <w:div w:id="805464997">
          <w:marLeft w:val="1080"/>
          <w:marRight w:val="0"/>
          <w:marTop w:val="10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3504011">
      <w:bodyDiv w:val="1"/>
      <w:marLeft w:val="0"/>
      <w:marRight w:val="0"/>
      <w:marTop w:val="0"/>
      <w:marBottom w:val="0"/>
      <w:divBdr>
        <w:top w:val="none" w:sz="0" w:space="0" w:color="auto"/>
        <w:left w:val="none" w:sz="0" w:space="0" w:color="auto"/>
        <w:bottom w:val="none" w:sz="0" w:space="0" w:color="auto"/>
        <w:right w:val="none" w:sz="0" w:space="0" w:color="auto"/>
      </w:divBdr>
      <w:divsChild>
        <w:div w:id="1741636311">
          <w:marLeft w:val="360"/>
          <w:marRight w:val="0"/>
          <w:marTop w:val="200"/>
          <w:marBottom w:val="0"/>
          <w:divBdr>
            <w:top w:val="none" w:sz="0" w:space="0" w:color="auto"/>
            <w:left w:val="none" w:sz="0" w:space="0" w:color="auto"/>
            <w:bottom w:val="none" w:sz="0" w:space="0" w:color="auto"/>
            <w:right w:val="none" w:sz="0" w:space="0" w:color="auto"/>
          </w:divBdr>
        </w:div>
        <w:div w:id="433668358">
          <w:marLeft w:val="1080"/>
          <w:marRight w:val="0"/>
          <w:marTop w:val="100"/>
          <w:marBottom w:val="0"/>
          <w:divBdr>
            <w:top w:val="none" w:sz="0" w:space="0" w:color="auto"/>
            <w:left w:val="none" w:sz="0" w:space="0" w:color="auto"/>
            <w:bottom w:val="none" w:sz="0" w:space="0" w:color="auto"/>
            <w:right w:val="none" w:sz="0" w:space="0" w:color="auto"/>
          </w:divBdr>
        </w:div>
        <w:div w:id="1793550228">
          <w:marLeft w:val="360"/>
          <w:marRight w:val="0"/>
          <w:marTop w:val="200"/>
          <w:marBottom w:val="0"/>
          <w:divBdr>
            <w:top w:val="none" w:sz="0" w:space="0" w:color="auto"/>
            <w:left w:val="none" w:sz="0" w:space="0" w:color="auto"/>
            <w:bottom w:val="none" w:sz="0" w:space="0" w:color="auto"/>
            <w:right w:val="none" w:sz="0" w:space="0" w:color="auto"/>
          </w:divBdr>
        </w:div>
        <w:div w:id="44527893">
          <w:marLeft w:val="1080"/>
          <w:marRight w:val="0"/>
          <w:marTop w:val="100"/>
          <w:marBottom w:val="0"/>
          <w:divBdr>
            <w:top w:val="none" w:sz="0" w:space="0" w:color="auto"/>
            <w:left w:val="none" w:sz="0" w:space="0" w:color="auto"/>
            <w:bottom w:val="none" w:sz="0" w:space="0" w:color="auto"/>
            <w:right w:val="none" w:sz="0" w:space="0" w:color="auto"/>
          </w:divBdr>
        </w:div>
        <w:div w:id="736130129">
          <w:marLeft w:val="360"/>
          <w:marRight w:val="0"/>
          <w:marTop w:val="200"/>
          <w:marBottom w:val="0"/>
          <w:divBdr>
            <w:top w:val="none" w:sz="0" w:space="0" w:color="auto"/>
            <w:left w:val="none" w:sz="0" w:space="0" w:color="auto"/>
            <w:bottom w:val="none" w:sz="0" w:space="0" w:color="auto"/>
            <w:right w:val="none" w:sz="0" w:space="0" w:color="auto"/>
          </w:divBdr>
        </w:div>
        <w:div w:id="281427506">
          <w:marLeft w:val="1080"/>
          <w:marRight w:val="0"/>
          <w:marTop w:val="100"/>
          <w:marBottom w:val="0"/>
          <w:divBdr>
            <w:top w:val="none" w:sz="0" w:space="0" w:color="auto"/>
            <w:left w:val="none" w:sz="0" w:space="0" w:color="auto"/>
            <w:bottom w:val="none" w:sz="0" w:space="0" w:color="auto"/>
            <w:right w:val="none" w:sz="0" w:space="0" w:color="auto"/>
          </w:divBdr>
        </w:div>
        <w:div w:id="55188899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9DC15E49-BEF6-479F-AB08-059905E0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5</cp:revision>
  <cp:lastPrinted>2009-04-22T13:01:00Z</cp:lastPrinted>
  <dcterms:created xsi:type="dcterms:W3CDTF">2019-10-03T10:26:00Z</dcterms:created>
  <dcterms:modified xsi:type="dcterms:W3CDTF">2019-10-04T14:38:00Z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